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default" w:ascii="方正小标宋简体" w:hAnsi="方正小标宋简体" w:eastAsia="方正小标宋简体" w:cs="方正小标宋简体"/>
          <w:w w:val="98"/>
          <w:sz w:val="30"/>
          <w:szCs w:val="30"/>
          <w:lang w:val="en-US" w:eastAsia="zh-CN"/>
        </w:rPr>
      </w:pPr>
      <w:r>
        <w:rPr>
          <w:rFonts w:hint="eastAsia" w:ascii="方正小标宋简体" w:hAnsi="方正小标宋简体" w:eastAsia="方正小标宋简体" w:cs="方正小标宋简体"/>
          <w:w w:val="98"/>
          <w:sz w:val="30"/>
          <w:szCs w:val="30"/>
          <w:lang w:eastAsia="zh-CN"/>
        </w:rPr>
        <w:t>附件</w:t>
      </w:r>
      <w:r>
        <w:rPr>
          <w:rFonts w:hint="eastAsia" w:ascii="方正小标宋简体" w:hAnsi="方正小标宋简体" w:eastAsia="方正小标宋简体" w:cs="方正小标宋简体"/>
          <w:w w:val="98"/>
          <w:sz w:val="30"/>
          <w:szCs w:val="30"/>
          <w:lang w:val="en-US" w:eastAsia="zh-CN"/>
        </w:rPr>
        <w:t>2：</w:t>
      </w:r>
    </w:p>
    <w:p>
      <w:pPr>
        <w:jc w:val="center"/>
        <w:rPr>
          <w:rFonts w:hint="eastAsia" w:ascii="方正小标宋简体" w:hAnsi="方正小标宋简体" w:eastAsia="方正小标宋简体" w:cs="方正小标宋简体"/>
          <w:w w:val="98"/>
          <w:sz w:val="30"/>
          <w:szCs w:val="30"/>
        </w:rPr>
      </w:pPr>
      <w:bookmarkStart w:id="12" w:name="_GoBack"/>
      <w:r>
        <w:rPr>
          <w:rFonts w:hint="eastAsia" w:ascii="方正小标宋简体" w:hAnsi="方正小标宋简体" w:eastAsia="方正小标宋简体" w:cs="方正小标宋简体"/>
          <w:w w:val="98"/>
          <w:sz w:val="30"/>
          <w:szCs w:val="30"/>
          <w:lang w:eastAsia="zh-CN"/>
        </w:rPr>
        <w:t>四川省环保产业协会</w:t>
      </w:r>
      <w:r>
        <w:rPr>
          <w:rFonts w:hint="eastAsia" w:ascii="方正小标宋简体" w:hAnsi="方正小标宋简体" w:eastAsia="方正小标宋简体" w:cs="方正小标宋简体"/>
          <w:w w:val="98"/>
          <w:sz w:val="30"/>
          <w:szCs w:val="30"/>
        </w:rPr>
        <w:t>会员单位统计报表主要指标解释</w:t>
      </w:r>
      <w:bookmarkEnd w:id="12"/>
    </w:p>
    <w:p>
      <w:pPr>
        <w:jc w:val="center"/>
        <w:rPr>
          <w:rFonts w:ascii="方正小标宋简体" w:hAnsi="方正小标宋简体" w:eastAsia="方正小标宋简体" w:cs="方正小标宋简体"/>
          <w:sz w:val="36"/>
          <w:szCs w:val="36"/>
        </w:rPr>
      </w:pPr>
    </w:p>
    <w:p>
      <w:pPr>
        <w:pStyle w:val="8"/>
        <w:snapToGrid w:val="0"/>
        <w:spacing w:line="360" w:lineRule="auto"/>
        <w:outlineLvl w:val="0"/>
        <w:rPr>
          <w:rFonts w:ascii="仿宋_GB2312" w:hAnsi="仿宋_GB2312" w:eastAsia="仿宋_GB2312" w:cs="仿宋_GB2312"/>
          <w:b/>
          <w:sz w:val="24"/>
        </w:rPr>
      </w:pPr>
      <w:r>
        <w:rPr>
          <w:rFonts w:ascii="宋体" w:hAnsi="宋体"/>
          <w:szCs w:val="21"/>
        </w:rPr>
        <w:t xml:space="preserve"> </w:t>
      </w:r>
      <w:bookmarkStart w:id="0" w:name="_Toc313890869"/>
      <w:bookmarkStart w:id="1" w:name="_Toc313890226"/>
      <w:r>
        <w:rPr>
          <w:rFonts w:hint="eastAsia" w:ascii="宋体" w:hAnsi="宋体"/>
          <w:szCs w:val="21"/>
        </w:rPr>
        <w:t xml:space="preserve">  </w:t>
      </w:r>
      <w:r>
        <w:rPr>
          <w:rFonts w:hint="eastAsia" w:ascii="宋体" w:hAnsi="宋体"/>
          <w:sz w:val="28"/>
          <w:szCs w:val="28"/>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b/>
          <w:sz w:val="24"/>
        </w:rPr>
        <w:t>1.本表内容</w:t>
      </w:r>
      <w:bookmarkEnd w:id="0"/>
      <w:bookmarkEnd w:id="1"/>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本表反映各会员法人单位的基本信息和经营情况。</w:t>
      </w:r>
    </w:p>
    <w:p>
      <w:pPr>
        <w:pStyle w:val="8"/>
        <w:snapToGrid w:val="0"/>
        <w:spacing w:line="360" w:lineRule="auto"/>
        <w:outlineLvl w:val="0"/>
        <w:rPr>
          <w:rFonts w:ascii="仿宋_GB2312" w:hAnsi="仿宋_GB2312" w:eastAsia="仿宋_GB2312" w:cs="仿宋_GB2312"/>
          <w:b/>
          <w:sz w:val="24"/>
        </w:rPr>
      </w:pPr>
      <w:r>
        <w:rPr>
          <w:rFonts w:hint="eastAsia" w:ascii="仿宋_GB2312" w:hAnsi="仿宋_GB2312" w:eastAsia="仿宋_GB2312" w:cs="仿宋_GB2312"/>
          <w:sz w:val="24"/>
        </w:rPr>
        <w:t xml:space="preserve">    </w:t>
      </w:r>
      <w:bookmarkStart w:id="2" w:name="_Toc307411713"/>
      <w:bookmarkStart w:id="3" w:name="_Toc313890870"/>
      <w:bookmarkStart w:id="4" w:name="_Toc307414762"/>
      <w:bookmarkStart w:id="5" w:name="_Toc313890227"/>
      <w:bookmarkStart w:id="6" w:name="_Toc313803274"/>
      <w:r>
        <w:rPr>
          <w:rFonts w:hint="eastAsia" w:ascii="仿宋_GB2312" w:hAnsi="仿宋_GB2312" w:eastAsia="仿宋_GB2312" w:cs="仿宋_GB2312"/>
          <w:b/>
          <w:sz w:val="24"/>
        </w:rPr>
        <w:t>2.本表填报对象</w:t>
      </w:r>
      <w:bookmarkEnd w:id="2"/>
      <w:bookmarkEnd w:id="3"/>
      <w:bookmarkEnd w:id="4"/>
      <w:bookmarkEnd w:id="5"/>
      <w:bookmarkEnd w:id="6"/>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本表的填报对象为四川省环境保护产业协会全体单位会员。</w:t>
      </w:r>
    </w:p>
    <w:p>
      <w:pPr>
        <w:pStyle w:val="8"/>
        <w:snapToGrid w:val="0"/>
        <w:spacing w:line="360" w:lineRule="auto"/>
        <w:outlineLvl w:val="0"/>
        <w:rPr>
          <w:rFonts w:ascii="仿宋_GB2312" w:hAnsi="仿宋_GB2312" w:eastAsia="仿宋_GB2312" w:cs="仿宋_GB2312"/>
          <w:b/>
          <w:sz w:val="24"/>
        </w:rPr>
      </w:pPr>
      <w:r>
        <w:rPr>
          <w:rFonts w:hint="eastAsia" w:ascii="仿宋_GB2312" w:hAnsi="仿宋_GB2312" w:eastAsia="仿宋_GB2312" w:cs="仿宋_GB2312"/>
          <w:sz w:val="24"/>
        </w:rPr>
        <w:t xml:space="preserve">   </w:t>
      </w:r>
      <w:bookmarkStart w:id="7" w:name="_Toc307414763"/>
      <w:bookmarkStart w:id="8" w:name="_Toc307411714"/>
      <w:bookmarkStart w:id="9" w:name="_Toc313803275"/>
      <w:r>
        <w:rPr>
          <w:rFonts w:hint="eastAsia" w:ascii="仿宋_GB2312" w:hAnsi="仿宋_GB2312" w:eastAsia="仿宋_GB2312" w:cs="仿宋_GB2312"/>
          <w:sz w:val="24"/>
        </w:rPr>
        <w:t xml:space="preserve"> </w:t>
      </w:r>
      <w:bookmarkStart w:id="10" w:name="_Toc313890228"/>
      <w:bookmarkStart w:id="11" w:name="_Toc313890871"/>
      <w:r>
        <w:rPr>
          <w:rFonts w:hint="eastAsia" w:ascii="仿宋_GB2312" w:hAnsi="仿宋_GB2312" w:eastAsia="仿宋_GB2312" w:cs="仿宋_GB2312"/>
          <w:b/>
          <w:sz w:val="24"/>
        </w:rPr>
        <w:t>3.有关指标解释</w:t>
      </w:r>
      <w:bookmarkEnd w:id="7"/>
      <w:bookmarkEnd w:id="8"/>
      <w:bookmarkEnd w:id="9"/>
      <w:bookmarkEnd w:id="10"/>
      <w:bookmarkEnd w:id="11"/>
    </w:p>
    <w:p>
      <w:pPr>
        <w:pStyle w:val="8"/>
        <w:tabs>
          <w:tab w:val="left" w:pos="540"/>
        </w:tabs>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组织机构代码：指根据中华人民共和国国家标准《全国组织机构代码编制规则》（GB11714-1997），由组织机构代码登记主管部门给每个企业、事业单位、机关、社会团体和民办非企业等颁发的在全国范围内唯一的、始终不变的法定代码。组织机构代码共9位，由8位无属性的数字和1位校验码组成。</w:t>
      </w:r>
    </w:p>
    <w:p>
      <w:pPr>
        <w:pStyle w:val="8"/>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单位名称：</w:t>
      </w:r>
      <w:r>
        <w:rPr>
          <w:rFonts w:hint="eastAsia" w:ascii="仿宋_GB2312" w:hAnsi="仿宋_GB2312" w:eastAsia="仿宋_GB2312" w:cs="仿宋_GB2312"/>
          <w:bCs/>
          <w:sz w:val="24"/>
        </w:rPr>
        <w:t>指经有关部门批准正式使用的与单位公章内容一致的单位全称。不得填写简称</w:t>
      </w:r>
      <w:r>
        <w:rPr>
          <w:rFonts w:hint="eastAsia" w:ascii="仿宋_GB2312" w:hAnsi="仿宋_GB2312" w:eastAsia="仿宋_GB2312" w:cs="仿宋_GB2312"/>
          <w:sz w:val="24"/>
        </w:rPr>
        <w:t>。</w:t>
      </w:r>
    </w:p>
    <w:p>
      <w:pPr>
        <w:pStyle w:val="8"/>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法定代表人（负责人）：</w:t>
      </w:r>
      <w:r>
        <w:rPr>
          <w:rFonts w:hint="eastAsia" w:ascii="仿宋_GB2312" w:hAnsi="仿宋_GB2312" w:eastAsia="仿宋_GB2312" w:cs="仿宋_GB2312"/>
          <w:bCs/>
          <w:sz w:val="24"/>
        </w:rPr>
        <w:t>行政事业单位等的负责人或企业的法定代表人。凡企业正在更换法人代表，尚未办理登记手续的，以实际负责人为准。</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单位注册地址：</w:t>
      </w:r>
      <w:r>
        <w:rPr>
          <w:rFonts w:hint="eastAsia" w:ascii="仿宋_GB2312" w:hAnsi="仿宋_GB2312" w:eastAsia="仿宋_GB2312" w:cs="仿宋_GB2312"/>
          <w:bCs/>
          <w:spacing w:val="5"/>
          <w:sz w:val="24"/>
        </w:rPr>
        <w:t>单位注册地址指填报单位在相关管理部门进行登记注册的地址，即填报单位办理登记注册所在的省（自治区、直辖市）、地（区、市、州、盟）、县（区、市、旗）、乡（镇）以及具体街（村）的名称和详细的门牌号码</w:t>
      </w:r>
      <w:r>
        <w:rPr>
          <w:rFonts w:hint="eastAsia" w:ascii="仿宋_GB2312" w:hAnsi="仿宋_GB2312" w:eastAsia="仿宋_GB2312" w:cs="仿宋_GB2312"/>
          <w:sz w:val="24"/>
        </w:rPr>
        <w:t>。不要填写通讯信箱号。</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注册地行政区划：指单位注册所在地</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注册资金：指集体所有制（股份合作）企业的股东实际缴付的出资数额；或全民所有制、集体所有制企业法人或社团法人经营管理的财产或者全部财产的货币表现。</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联系方式：指填报单位（或主管环境保护工作的部门）对外联系的固定电话、移动电话、传真电话、邮政编码、电子信箱和网站地址等。</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从业类别：包括环保仪器设备制造</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环境保护产品、环境服务、环保工程建设和综合资源利用</w:t>
      </w:r>
      <w:r>
        <w:rPr>
          <w:rFonts w:hint="eastAsia" w:ascii="仿宋_GB2312" w:hAnsi="仿宋_GB2312" w:eastAsia="仿宋_GB2312" w:cs="仿宋_GB2312"/>
          <w:sz w:val="24"/>
          <w:lang w:eastAsia="zh-CN"/>
        </w:rPr>
        <w:t>五</w:t>
      </w:r>
      <w:r>
        <w:rPr>
          <w:rFonts w:hint="eastAsia" w:ascii="仿宋_GB2312" w:hAnsi="仿宋_GB2312" w:eastAsia="仿宋_GB2312" w:cs="仿宋_GB2312"/>
          <w:sz w:val="24"/>
        </w:rPr>
        <w:t>类活动。</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（1）环保仪器设备制造是指专业从事及主要从事环境保护设备、装置、环境监测仪器仪表、材料的制造等。环保仪器设备制造包括七项内容： 一是环境监测仪器仪表制造；二是水污染治理设备、装置生产制造；三是空气污染治理设备、装置生产制造；四是固体废物处理处置与回收利用设备、装置生产制造；五是噪声与振动控制设备、装置生产制造；六是放射性与电磁污染防护设备、装置生产制造；七是其他环保设备仪器制造</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环境工程建设是指各类环境工程土木建筑及其附属设施的建造和与其配套的线路、管道、设备的安装等。环保工程建设包括七项内容：一是水污染治理工程；二是大气污染治理工程；三是固体废物处理处置治理工程；四是噪声与振动污染防治工程； 五是放射性与电磁污染防护工程；六是生态环境恢复与治理工程；七是其他环境工程。</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资源综合利用是指对废弃资源和废旧材料的加工处理，和利用废弃物生产各种产品。资源综合利用包括三项内容：一是矿产资源综合开发与合理利用；二是生产过程中产生的废物回收和合理利用；三是对社会消费过程中产生的废物回收和再生利用。</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环境服务是指专业从事及主要从事环境工程设计与施工、环境咨询、污染治理设施运营、环境贸易与金融服务等。环境保护服务包括七项内容：一是环保科技及技术研发；二是环境工程咨询与工程设计；三是环境影响评价；四是环境监测服务；五是环境监理；六是环境污染治理设施运营服务；七是其他咨询服务。</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环保产品生产是指生产的产品在整个生命周期内（包括新产品的生产、消费及使用后的回收与再利用）对环境友好的产品，即通常所指的绿色产品或环境无害化产品或低公害产品。这类产品既具有一般商品的特性，又在生产、使用和处理处置过程中符合特定的环境保护要求，与同类产品相比，具有低毒少害、节约资源的环境功能。环保产品包括五项：一是环境标志类产品生产；二是节能产品生产；三是节水产品生产；四是有机产品生产；五是其他。</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企业类型：分为企业、事业单位、社会团体、民办非企业单位、基金会和其他组织机构。具体解释如下：</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（1）企业：包括</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1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①</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领取《企业法人营业执照》的各类企业；</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2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②</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个人独资企业、合伙企业；</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3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③</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由其他行政主管部门依据有关法律法规审批成立，且具备法人条件的企业；</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4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④</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未经有关部门批准、但实际从事生产经营活动的企业；</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5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⑤</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经各级工商行政管理部门核准登记，领取《营业执照》的各类企业产业活动单位或经营单位；</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6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⑥</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未经有关部门批准但实际从事生产经营活动、且符合产业活动单位条件的企业法人的本部及分支机构。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（2）事业单位：包括</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1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①</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经机构编制部门批准成立和登记或备案，领取《事业单位法人证书》，取得法人资格的单位；</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2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②</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由其他行政主管部门依据有关法律法规审批成立，且具备法人条件的事业单位：</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3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③</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事业法人单位的本部及分支机构或派出机构。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（3）社会团体：指中国公民自愿组成，为实现会员共同意愿，按照其章程开展活动的非营利性社会组织。包括</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1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①</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经各级民政部门核准登记，领取《社会团体法人证书》的各类社会团体；</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2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②</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由各级机构编制管理部门直接管理其机关机构编制的群众团体；</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3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③</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经国务院批准可以免于登记的社会团体；</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4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④</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由其他行政主管部门依据有关法律法规审批成立，不需要进行登记的具备法人条件的社会团体；</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5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⑤</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社团法人单位的本部，以及经各级民政部门核准登记，领取《社会团体分支机构登记证书》或《社会团体代表机构登记证书》的社会团体分支机构或代表机构。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（4）民办非企业单位：指企业单位、事业单位、社会团体和其他社会力量以及公民个人利用非国有资产举办的，从事非营利性社会服务的社会组织。包括</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1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①</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经各级民政部门核准登记，领取《民办非企业单位（法人）登记证书》的民办非企业单位；</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2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②</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由其他行政主管部门依据有关法律法规审批成立，不需要进行登记的具备法人条件的民办非企业单位。</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民办非企业法人不得设立分支机构。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（5）基金会：包括</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1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①</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民政部和省级民政部门核准登记的，颁发《基金会法人登记证书》的基金会；</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2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②</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基金会的本部及分支机构和境外基金会代表机构。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（6）其他组织机构：指除企业、事业单位、社会团体、民办非企业单位、基金会以外的其他符合法人和产业活动单位条件的机构。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从业特性：指填报单位从事环境保护及相关产业活动的专业或兼业特性。</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“专业环保”指企业、事业单位主营业务为环境保护及相关产业。“兼业环保”指企业、事业单位主营业务为环境保护及相关产业之外的其他行业，兼业从事环境保护及相关产业活动。</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b/>
          <w:bCs/>
          <w:sz w:val="24"/>
        </w:rPr>
        <w:t xml:space="preserve">  企业财务状况</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1.年末资产总计：指企业(集团)截止报告期期末拥有或控制的全部资产，包括流动资产、长期投资、固定资产、无形资产、递延资产和其他资产等。</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2.固定资产净值：指企业(集团)为生产商品、提供劳务、出租或经营管理而持有的使用寿命超过一个会计年度的有形资产（固定资产原值减累计折旧）。按资产负债表中相应项目填列。</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3.年末负债合计：指企业(集团)所承担的能以货币计量，将以资产或劳务偿付的债务。负债一般按偿还期的长短分为流动负债和长期负债。</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年末股东（所有者）权益合计：指企业(集团)资产扣除负债后由所有者享有的剩余权益。执行新会计准则的企业(集团)按资产负债表中的股东(所有者)权益合计填列。尚未执行新会计准则的企业(集团)由股东(所有者权益)合计与少数股东权益相加之后填列。</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5.企业增加值:它是固定资产本年折旧,营业盈余,生产税净额,从业人员劳动报酬的总和。指填报单位本年度的以货币表现的环保产业在报告期内生产的环保产品或者提供环保服务的总量。其中包括：</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6.固定资产本年折旧：指企业(集团)在本年度内累计提取的折旧。</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7.从业人员劳动报酬：指企业(集团)直接支付给本企业(集团)全部从业人员的劳动报酬总额。包括本企业(集团)在岗职工工资总额和其他从业人员劳动报酬两部分。</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生产税净额：指生产税减生产补贴后的余额。生产税指政府对生产单位生产、销售和从事经营活动以及因从事生产活动使用某些生产要素（如固定资产、土地、劳动力）所征收的各种税、附加税和规费。生产补贴与生产税相反，指政府对生产单位的单方面收入转移，因此可视为负的生产税，在我国主要有：政策亏损补贴、粮食系统价格补贴、外贸企业出口退税等。</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9.营业盈余：指填报单位在本年度创造的增加值扣除劳动者报酬、生产税净额和固定资产折旧后的余额，同时营业盈余=营业收入-营业成本-营业税金及附加。</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10.营业收入：指企业(集团)在日常活动中形成的、会导致所有者权益增加的、与所有者投入资本无关的经济利益的总流入。其中“日常活动”，是指企业为完成其经营目标所从事的经常性活动以及与之相关的活动。比如，工业企业制造并销售产品、商品流通企业销售商品、保险公司签发保单、咨询公司提供咨询服务、软件企业为客户开发软件、安装公司提供安装服务、商业银行对外贷款、租赁公司出租资产等，均属于企业为完成其经营目标所从事的经常性活动，由此产生的经济利益的总流入构成收入。</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 年出口、对外服务合同总额：指填报单位年内承接出口到境外或者服务的合同额, 都包括出口环保设备、环保产品、环保技术、环保服务等用货币来表示的金额。</w:t>
      </w:r>
    </w:p>
    <w:p>
      <w:pPr>
        <w:snapToGrid w:val="0"/>
        <w:spacing w:line="360" w:lineRule="auto"/>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企业从业人员构成</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1.年末从业人员  指在本单位工作并取得劳动报酬或收入的年末实有人员数。包括在单位工作的外方人员和港澳台方人员、兼职人员、再就业的离退休人员、借用的外单位人员和第二职业者。但不包括离开本单位仍保留劳动关系的职工。</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2.在岗职工  指报告期期末在本企业(集团)工作并由企业(集团)支付工资的人员，以及有工作岗位，但由于学习、病伤、产假等原因暂未工作，仍由企业(集团)支付工资的人员。</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3.其他从业人员  指报告期期末在企业(集团)工作并由企业(集团)支付劳动报酬的离退休人员以及在企业(集团)中工作的外方人员和港澳台方人员、兼职人员、借用的外单位人员和第二职业者。</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4.技术人员  指依照国家人才法律法规，经过国家人事部门全国统考合格，并经国家主管部委注册备案，颁发注册执业证书，在企业或事业单位从事专业技术工作的技术人员及具有前述执业证书并从事专业技术管理工作，在1983年以前评定了</w:t>
      </w:r>
      <w:r>
        <w:fldChar w:fldCharType="begin"/>
      </w:r>
      <w:r>
        <w:instrText xml:space="preserve"> HYPERLINK "http://baike.baidu.com/view/2428999.htm" \t "_blank" </w:instrText>
      </w:r>
      <w:r>
        <w:fldChar w:fldCharType="separate"/>
      </w:r>
      <w:r>
        <w:rPr>
          <w:rFonts w:hint="eastAsia" w:ascii="仿宋_GB2312" w:hAnsi="仿宋_GB2312" w:eastAsia="仿宋_GB2312" w:cs="仿宋_GB2312"/>
          <w:sz w:val="24"/>
        </w:rPr>
        <w:t>专业技术职称</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或在1984年以后考取了国家执行资格并具有专业技术执业证书的人员。其中包括：</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高级技术人员：指填报单位企业中获得高级职称的人员总数。指高级工程师，正、副教授，正、副研究员，高级统计师，高级经济师，以及相当于这一级的具有其他技术职称的人员。</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中级技术人员：指填报单位企业中获得中级职称的人员总数。指工程师、讲师、助理研究员、技师、统计师、会计师、经济师，以及相当于这一级的具有其他技术职务的人员。</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这方面的指标用于反映环保产业的从业人员的结构状况，包括高级职称、中级职称人员。</w:t>
      </w:r>
    </w:p>
    <w:p>
      <w:pPr>
        <w:snapToGrid w:val="0"/>
        <w:spacing w:line="360" w:lineRule="auto"/>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 xml:space="preserve">企业产品认证 </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1.已通过国家相关产品认证  已通过国家级环保产品认证并获得有效证书的产品的个数，若未通过认证的填列“—”。</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2.已通过省级环保产品推荐  已通过省级环保产品推荐并获得有效证书的产品的个数，未通过认证的填列“—”。</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3.采标情况  采纳标准包括国家标准（简称“国标”）、行业标准（简称“行标”）、企业标准（简称“企标”）。按简称分别填列。没有采纳上述标准的“非标”产品则填列“—”。</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4.拥有专利数  指填报单位若有相关专利，则填上相应的个数，同时最好填上专利号，用以检验专利的真实性。没有则填列“—”。专利是受法律规范保护的发明创造，它是指一项发明创造向国家审批机关提出专利申请，经依法审查合格后向专利申请人授予的在规定的时间内对该项发明创造享有的专有权。</w:t>
      </w:r>
    </w:p>
    <w:p>
      <w:pPr>
        <w:snapToGrid w:val="0"/>
        <w:spacing w:line="360" w:lineRule="auto"/>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企业营业收入结构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1.环保业务收入  指企业从事某类环保业务所取得的营业收入。主营业务收入根据各行业企业所从事主要业务活动的不同而有所区别，如工业企业指产品销售收入，建筑业企业指工程结算收入，交通运输业企业指主营业务收入，批发和零售业企业指商品销售收入，房地产业企业指房地产经营收入，其他行业企业指经营(营业)收入。企业在填报主营业务收入时，一般根据企业会计“损益表”中有关主营业务收入指标的上年累计数填写，但要注意区分环保业务及非环保业务。</w:t>
      </w:r>
    </w:p>
    <w:p>
      <w:pPr>
        <w:snapToGrid w:val="0"/>
        <w:spacing w:line="360" w:lineRule="auto"/>
        <w:ind w:firstLine="480" w:firstLineChars="200"/>
      </w:pPr>
      <w:r>
        <w:rPr>
          <w:rFonts w:hint="eastAsia" w:ascii="仿宋_GB2312" w:hAnsi="仿宋_GB2312" w:eastAsia="仿宋_GB2312" w:cs="仿宋_GB2312"/>
          <w:sz w:val="24"/>
        </w:rPr>
        <w:t>2.企业主要业务活动  指企业获得营业收入份额最大的环保业务活动或环保主要产品，及其在企业全部营业收入中所占的份额。行业代码与企业环保类型编码可由企业填写，也可由所在地的调查单位根据企业的主要业务活动名称进行核查与填写。营业收入所占份额是指该项环保业务或者环保产业收入在企业全部营业收入（包括非环保业务收入）中的比重。</w:t>
      </w:r>
    </w:p>
    <w:p>
      <w:pPr>
        <w:pStyle w:val="2"/>
        <w:spacing w:before="120" w:after="120"/>
        <w:rPr>
          <w:rFonts w:ascii="黑体" w:hAnsi="黑体" w:eastAsia="黑体"/>
          <w:kern w:val="0"/>
          <w:sz w:val="32"/>
          <w:szCs w:val="32"/>
        </w:rPr>
      </w:pPr>
    </w:p>
    <w:p>
      <w:pPr>
        <w:pStyle w:val="2"/>
        <w:spacing w:before="120" w:after="120"/>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pStyle w:val="2"/>
        <w:spacing w:before="120" w:after="120"/>
        <w:rPr>
          <w:rFonts w:ascii="方正小标宋简体" w:hAnsi="方正小标宋简体" w:eastAsia="方正小标宋简体" w:cs="方正小标宋简体"/>
          <w:b/>
          <w:kern w:val="0"/>
          <w:sz w:val="24"/>
          <w:szCs w:val="22"/>
        </w:rPr>
      </w:pPr>
      <w:r>
        <w:rPr>
          <w:rFonts w:hint="eastAsia" w:ascii="黑体" w:hAnsi="黑体" w:eastAsia="黑体"/>
          <w:kern w:val="0"/>
          <w:sz w:val="32"/>
          <w:szCs w:val="32"/>
        </w:rPr>
        <w:t>附表：</w:t>
      </w:r>
    </w:p>
    <w:p>
      <w:pPr>
        <w:widowControl/>
        <w:spacing w:line="330" w:lineRule="atLeast"/>
        <w:jc w:val="center"/>
        <w:rPr>
          <w:b/>
          <w:kern w:val="0"/>
          <w:sz w:val="24"/>
          <w:szCs w:val="22"/>
        </w:rPr>
      </w:pPr>
      <w:r>
        <w:rPr>
          <w:rFonts w:hint="eastAsia" w:cs="宋体"/>
          <w:b/>
          <w:kern w:val="0"/>
          <w:sz w:val="24"/>
          <w:szCs w:val="22"/>
        </w:rPr>
        <w:t>统计上大中小微型企业划分标准</w:t>
      </w:r>
    </w:p>
    <w:tbl>
      <w:tblPr>
        <w:tblStyle w:val="17"/>
        <w:tblW w:w="9310"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36"/>
        <w:gridCol w:w="1386"/>
        <w:gridCol w:w="709"/>
        <w:gridCol w:w="1125"/>
        <w:gridCol w:w="1836"/>
        <w:gridCol w:w="1490"/>
        <w:gridCol w:w="9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836" w:type="dxa"/>
            <w:noWrap w:val="0"/>
            <w:vAlign w:val="center"/>
          </w:tcPr>
          <w:p>
            <w:pPr>
              <w:widowControl/>
              <w:spacing w:line="240" w:lineRule="exact"/>
              <w:jc w:val="center"/>
              <w:rPr>
                <w:rFonts w:ascii="宋体" w:hAnsi="宋体" w:cs="宋体"/>
                <w:b/>
                <w:bCs/>
                <w:kern w:val="0"/>
                <w:sz w:val="18"/>
                <w:szCs w:val="21"/>
              </w:rPr>
            </w:pPr>
            <w:r>
              <w:rPr>
                <w:rFonts w:hint="eastAsia" w:ascii="宋体" w:hAnsi="宋体" w:cs="宋体"/>
                <w:b/>
                <w:bCs/>
                <w:kern w:val="0"/>
                <w:sz w:val="18"/>
                <w:szCs w:val="21"/>
              </w:rPr>
              <w:t>行业名称</w:t>
            </w:r>
          </w:p>
        </w:tc>
        <w:tc>
          <w:tcPr>
            <w:tcW w:w="1386" w:type="dxa"/>
            <w:noWrap w:val="0"/>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指标名称</w:t>
            </w:r>
          </w:p>
        </w:tc>
        <w:tc>
          <w:tcPr>
            <w:tcW w:w="709" w:type="dxa"/>
            <w:noWrap w:val="0"/>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计量单位</w:t>
            </w:r>
          </w:p>
        </w:tc>
        <w:tc>
          <w:tcPr>
            <w:tcW w:w="1125" w:type="dxa"/>
            <w:noWrap w:val="0"/>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大型</w:t>
            </w:r>
          </w:p>
        </w:tc>
        <w:tc>
          <w:tcPr>
            <w:tcW w:w="1836" w:type="dxa"/>
            <w:noWrap w:val="0"/>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中型</w:t>
            </w:r>
          </w:p>
        </w:tc>
        <w:tc>
          <w:tcPr>
            <w:tcW w:w="1490" w:type="dxa"/>
            <w:noWrap w:val="0"/>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小型</w:t>
            </w:r>
          </w:p>
        </w:tc>
        <w:tc>
          <w:tcPr>
            <w:tcW w:w="928" w:type="dxa"/>
            <w:noWrap w:val="0"/>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微型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农、林、牧、渔业</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Y≥20000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500≤Y＜20000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50≤Y＜500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工业 *</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300≤X＜1000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20≤X＜300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Y≥40000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2000≤Y＜40000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300≤Y＜2000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Y＜300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建筑业</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Y≥80000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6000≤Y＜80000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300≤Y＜6000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Y＜300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Z≥80000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5000≤Z＜80000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300≤Z＜5000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Z＜300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批发业</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20≤X＜200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5≤X＜20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Y≥40000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5000≤Y＜40000</w:t>
            </w:r>
          </w:p>
        </w:tc>
        <w:tc>
          <w:tcPr>
            <w:tcW w:w="1490" w:type="dxa"/>
            <w:noWrap w:val="0"/>
            <w:vAlign w:val="center"/>
          </w:tcPr>
          <w:p>
            <w:pPr>
              <w:widowControl/>
              <w:spacing w:line="397" w:lineRule="exact"/>
              <w:ind w:left="-1" w:leftChars="-1" w:hanging="1"/>
              <w:jc w:val="center"/>
              <w:rPr>
                <w:rFonts w:ascii="宋体" w:hAnsi="宋体" w:cs="宋体"/>
                <w:kern w:val="0"/>
                <w:sz w:val="18"/>
                <w:szCs w:val="18"/>
              </w:rPr>
            </w:pPr>
            <w:r>
              <w:rPr>
                <w:rFonts w:hint="eastAsia" w:ascii="宋体" w:hAnsi="宋体" w:cs="宋体"/>
                <w:kern w:val="0"/>
                <w:sz w:val="18"/>
                <w:szCs w:val="18"/>
              </w:rPr>
              <w:t>1000≤Y＜5000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零售业</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50≤X＜300</w:t>
            </w:r>
          </w:p>
        </w:tc>
        <w:tc>
          <w:tcPr>
            <w:tcW w:w="1490" w:type="dxa"/>
            <w:noWrap w:val="0"/>
            <w:vAlign w:val="center"/>
          </w:tcPr>
          <w:p>
            <w:pPr>
              <w:widowControl/>
              <w:spacing w:line="397" w:lineRule="exact"/>
              <w:ind w:left="-1" w:leftChars="-1" w:hanging="1"/>
              <w:jc w:val="center"/>
              <w:rPr>
                <w:rFonts w:ascii="宋体" w:hAnsi="宋体" w:cs="宋体"/>
                <w:kern w:val="0"/>
                <w:sz w:val="18"/>
                <w:szCs w:val="18"/>
              </w:rPr>
            </w:pPr>
            <w:r>
              <w:rPr>
                <w:rFonts w:hint="eastAsia" w:ascii="宋体" w:hAnsi="宋体" w:cs="宋体"/>
                <w:kern w:val="0"/>
                <w:sz w:val="18"/>
                <w:szCs w:val="18"/>
              </w:rPr>
              <w:t xml:space="preserve">10≤X＜50 </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Y≥20000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500≤Y＜20000</w:t>
            </w:r>
          </w:p>
        </w:tc>
        <w:tc>
          <w:tcPr>
            <w:tcW w:w="1490" w:type="dxa"/>
            <w:noWrap w:val="0"/>
            <w:vAlign w:val="center"/>
          </w:tcPr>
          <w:p>
            <w:pPr>
              <w:widowControl/>
              <w:spacing w:line="397" w:lineRule="exact"/>
              <w:ind w:left="-1" w:leftChars="-1" w:hanging="1"/>
              <w:jc w:val="center"/>
              <w:rPr>
                <w:rFonts w:ascii="宋体" w:hAnsi="宋体" w:cs="宋体"/>
                <w:kern w:val="0"/>
                <w:sz w:val="18"/>
                <w:szCs w:val="18"/>
              </w:rPr>
            </w:pPr>
            <w:r>
              <w:rPr>
                <w:rFonts w:hint="eastAsia" w:ascii="宋体" w:hAnsi="宋体" w:cs="宋体"/>
                <w:kern w:val="0"/>
                <w:sz w:val="18"/>
                <w:szCs w:val="18"/>
              </w:rPr>
              <w:t xml:space="preserve">100≤Y＜500 </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交通运输业 *</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300≤X＜1000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20≤X＜300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Y≥30000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3000≤Y＜30000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200≤Y＜3000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Y＜200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仓储业</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X≥200</w:t>
            </w:r>
          </w:p>
        </w:tc>
        <w:tc>
          <w:tcPr>
            <w:tcW w:w="1836" w:type="dxa"/>
            <w:noWrap w:val="0"/>
            <w:vAlign w:val="center"/>
          </w:tcPr>
          <w:p>
            <w:pPr>
              <w:widowControl/>
              <w:spacing w:line="397"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100≤X＜200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20≤X＜100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Y≥30000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1000≤Y＜30000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100≤Y＜1000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邮政业</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300≤X＜1000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20≤X＜300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Y≥30000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2000≤Y＜30000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100≤Y＜2000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住宿业</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noWrap w:val="0"/>
            <w:vAlign w:val="center"/>
          </w:tcPr>
          <w:p>
            <w:pPr>
              <w:widowControl/>
              <w:spacing w:line="397"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2000≤Y＜10000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100≤Y＜2000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餐饮业</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noWrap w:val="0"/>
            <w:vAlign w:val="center"/>
          </w:tcPr>
          <w:p>
            <w:pPr>
              <w:widowControl/>
              <w:spacing w:line="397"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2000≤Y＜10000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100≤Y＜2000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信息传输业 *</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100≤X＜2000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Y≥100000</w:t>
            </w:r>
          </w:p>
        </w:tc>
        <w:tc>
          <w:tcPr>
            <w:tcW w:w="183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1000≤Y＜100000</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100≤Y＜1000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836" w:type="dxa"/>
            <w:noWrap w:val="0"/>
            <w:vAlign w:val="center"/>
          </w:tcPr>
          <w:p>
            <w:pPr>
              <w:widowControl/>
              <w:spacing w:line="240" w:lineRule="exact"/>
              <w:jc w:val="left"/>
              <w:rPr>
                <w:rFonts w:ascii="宋体" w:hAnsi="宋体" w:cs="宋体"/>
                <w:kern w:val="0"/>
                <w:sz w:val="24"/>
              </w:rPr>
            </w:pPr>
            <w:r>
              <w:rPr>
                <w:rFonts w:hint="eastAsia" w:ascii="宋体" w:hAnsi="宋体" w:cs="宋体"/>
                <w:spacing w:val="-12"/>
                <w:kern w:val="0"/>
                <w:sz w:val="18"/>
                <w:szCs w:val="18"/>
              </w:rPr>
              <w:t>软件和信息技术服</w:t>
            </w:r>
            <w:r>
              <w:rPr>
                <w:rFonts w:hint="eastAsia" w:ascii="宋体" w:hAnsi="宋体" w:cs="宋体"/>
                <w:kern w:val="0"/>
                <w:sz w:val="18"/>
                <w:szCs w:val="18"/>
              </w:rPr>
              <w:t>务业</w:t>
            </w:r>
          </w:p>
        </w:tc>
        <w:tc>
          <w:tcPr>
            <w:tcW w:w="1386"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noWrap w:val="0"/>
            <w:vAlign w:val="center"/>
          </w:tcPr>
          <w:p>
            <w:pPr>
              <w:widowControl/>
              <w:spacing w:line="340"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1490"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836" w:type="dxa"/>
            <w:noWrap w:val="0"/>
            <w:vAlign w:val="center"/>
          </w:tcPr>
          <w:p>
            <w:pPr>
              <w:widowControl/>
              <w:spacing w:line="240" w:lineRule="exact"/>
              <w:jc w:val="left"/>
              <w:rPr>
                <w:rFonts w:ascii="宋体" w:hAnsi="宋体" w:cs="宋体"/>
                <w:kern w:val="0"/>
                <w:sz w:val="18"/>
                <w:szCs w:val="18"/>
              </w:rPr>
            </w:pPr>
          </w:p>
        </w:tc>
        <w:tc>
          <w:tcPr>
            <w:tcW w:w="1386"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Y≥10000</w:t>
            </w:r>
          </w:p>
        </w:tc>
        <w:tc>
          <w:tcPr>
            <w:tcW w:w="1836"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1000≤Y＜10000</w:t>
            </w:r>
          </w:p>
        </w:tc>
        <w:tc>
          <w:tcPr>
            <w:tcW w:w="1490"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50≤Y＜1000</w:t>
            </w:r>
          </w:p>
        </w:tc>
        <w:tc>
          <w:tcPr>
            <w:tcW w:w="928"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房地产开发经营</w:t>
            </w:r>
          </w:p>
        </w:tc>
        <w:tc>
          <w:tcPr>
            <w:tcW w:w="1386"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Y≥200000</w:t>
            </w:r>
          </w:p>
        </w:tc>
        <w:tc>
          <w:tcPr>
            <w:tcW w:w="1836"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1000≤Y＜200000</w:t>
            </w:r>
          </w:p>
        </w:tc>
        <w:tc>
          <w:tcPr>
            <w:tcW w:w="1490"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100≤Y＜1000</w:t>
            </w:r>
          </w:p>
        </w:tc>
        <w:tc>
          <w:tcPr>
            <w:tcW w:w="928"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709"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Z≥10000</w:t>
            </w:r>
          </w:p>
        </w:tc>
        <w:tc>
          <w:tcPr>
            <w:tcW w:w="1836"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5000≤Z＜10000</w:t>
            </w:r>
          </w:p>
        </w:tc>
        <w:tc>
          <w:tcPr>
            <w:tcW w:w="1490"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2000≤Z＜5000   </w:t>
            </w:r>
          </w:p>
        </w:tc>
        <w:tc>
          <w:tcPr>
            <w:tcW w:w="928"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Z＜2000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物业管理</w:t>
            </w:r>
          </w:p>
        </w:tc>
        <w:tc>
          <w:tcPr>
            <w:tcW w:w="1386"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X≥1000</w:t>
            </w:r>
          </w:p>
        </w:tc>
        <w:tc>
          <w:tcPr>
            <w:tcW w:w="1836"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300≤X＜1000</w:t>
            </w:r>
          </w:p>
        </w:tc>
        <w:tc>
          <w:tcPr>
            <w:tcW w:w="1490"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100≤X＜300 </w:t>
            </w:r>
          </w:p>
        </w:tc>
        <w:tc>
          <w:tcPr>
            <w:tcW w:w="928"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Y≥5000</w:t>
            </w:r>
          </w:p>
        </w:tc>
        <w:tc>
          <w:tcPr>
            <w:tcW w:w="1836" w:type="dxa"/>
            <w:noWrap w:val="0"/>
            <w:vAlign w:val="center"/>
          </w:tcPr>
          <w:p>
            <w:pPr>
              <w:widowControl/>
              <w:spacing w:line="340"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1000≤Y＜5000 </w:t>
            </w:r>
          </w:p>
        </w:tc>
        <w:tc>
          <w:tcPr>
            <w:tcW w:w="1490"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500≤Y＜1000</w:t>
            </w:r>
          </w:p>
        </w:tc>
        <w:tc>
          <w:tcPr>
            <w:tcW w:w="928"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Y＜500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836" w:type="dxa"/>
            <w:vMerge w:val="restart"/>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租赁和商务服务业</w:t>
            </w:r>
          </w:p>
        </w:tc>
        <w:tc>
          <w:tcPr>
            <w:tcW w:w="1386"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noWrap w:val="0"/>
            <w:vAlign w:val="center"/>
          </w:tcPr>
          <w:p>
            <w:pPr>
              <w:widowControl/>
              <w:spacing w:line="340"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1490"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836" w:type="dxa"/>
            <w:vMerge w:val="continue"/>
            <w:noWrap w:val="0"/>
            <w:vAlign w:val="center"/>
          </w:tcPr>
          <w:p>
            <w:pPr>
              <w:widowControl/>
              <w:jc w:val="left"/>
              <w:rPr>
                <w:rFonts w:ascii="宋体" w:hAnsi="宋体" w:cs="宋体"/>
                <w:kern w:val="0"/>
                <w:sz w:val="18"/>
                <w:szCs w:val="18"/>
              </w:rPr>
            </w:pPr>
          </w:p>
        </w:tc>
        <w:tc>
          <w:tcPr>
            <w:tcW w:w="1386" w:type="dxa"/>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709"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Z≥120000</w:t>
            </w:r>
          </w:p>
        </w:tc>
        <w:tc>
          <w:tcPr>
            <w:tcW w:w="1836"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8000≤Z＜120000</w:t>
            </w:r>
          </w:p>
        </w:tc>
        <w:tc>
          <w:tcPr>
            <w:tcW w:w="1490"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100≤Z＜8000</w:t>
            </w:r>
          </w:p>
        </w:tc>
        <w:tc>
          <w:tcPr>
            <w:tcW w:w="928" w:type="dxa"/>
            <w:noWrap w:val="0"/>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Z＜100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1836"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其他未列明行业 *</w:t>
            </w:r>
          </w:p>
        </w:tc>
        <w:tc>
          <w:tcPr>
            <w:tcW w:w="1386"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noWrap w:val="0"/>
            <w:vAlign w:val="center"/>
          </w:tcPr>
          <w:p>
            <w:pPr>
              <w:widowControl/>
              <w:spacing w:line="397"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1490"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noWrap w:val="0"/>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w:t>
            </w:r>
          </w:p>
        </w:tc>
      </w:tr>
    </w:tbl>
    <w:p>
      <w:pPr>
        <w:widowControl/>
        <w:spacing w:line="330" w:lineRule="atLeast"/>
        <w:ind w:firstLine="422" w:firstLineChars="200"/>
        <w:jc w:val="left"/>
        <w:rPr>
          <w:rStyle w:val="20"/>
        </w:rPr>
      </w:pPr>
      <w:r>
        <w:rPr>
          <w:rStyle w:val="20"/>
          <w:rFonts w:hint="eastAsia"/>
        </w:rPr>
        <w:t>说明：</w:t>
      </w:r>
    </w:p>
    <w:p>
      <w:pPr>
        <w:spacing w:line="360" w:lineRule="auto"/>
        <w:ind w:firstLine="420" w:firstLineChars="200"/>
        <w:rPr>
          <w:bCs/>
        </w:rPr>
      </w:pPr>
      <w:r>
        <w:rPr>
          <w:bCs/>
        </w:rPr>
        <w:t>1.</w:t>
      </w:r>
      <w:r>
        <w:rPr>
          <w:rFonts w:hint="eastAsia"/>
          <w:bCs/>
        </w:rPr>
        <w:t xml:space="preserve"> 大型、中型和小型企业须同时满足所列指标的下限，否则下划一档；微型企业只须满足所列指标中的一项即可。</w:t>
      </w:r>
    </w:p>
    <w:p>
      <w:pPr>
        <w:pStyle w:val="8"/>
        <w:adjustRightInd w:val="0"/>
        <w:snapToGrid w:val="0"/>
        <w:spacing w:line="300" w:lineRule="auto"/>
        <w:ind w:firstLine="141" w:firstLineChars="50"/>
        <w:rPr>
          <w:rFonts w:ascii="宋体" w:hAnsi="宋体" w:eastAsia="宋体"/>
          <w:b/>
          <w:sz w:val="28"/>
          <w:szCs w:val="28"/>
        </w:rPr>
      </w:pPr>
    </w:p>
    <w:p>
      <w:pPr>
        <w:rPr>
          <w:rFonts w:ascii="方正小标宋简体" w:hAnsi="方正小标宋简体" w:eastAsia="方正小标宋简体" w:cs="方正小标宋简体"/>
          <w:sz w:val="44"/>
          <w:szCs w:val="44"/>
        </w:rPr>
      </w:pPr>
    </w:p>
    <w:p>
      <w:pPr>
        <w:ind w:right="480"/>
        <w:jc w:val="right"/>
        <w:rPr>
          <w:rFonts w:ascii="华文仿宋" w:hAnsi="华文仿宋" w:eastAsia="华文仿宋" w:cs="宋体"/>
          <w:color w:val="000000"/>
          <w:kern w:val="0"/>
          <w:sz w:val="30"/>
          <w:szCs w:val="30"/>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5</w:t>
    </w:r>
    <w:r>
      <w:rPr>
        <w:lang w:val="zh-CN"/>
      </w:rP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ZTJjM2MyODQ1MDE2MDU3ZGZlZGUwYTBiODcyMDMifQ=="/>
  </w:docVars>
  <w:rsids>
    <w:rsidRoot w:val="006403B5"/>
    <w:rsid w:val="000352AB"/>
    <w:rsid w:val="000365E8"/>
    <w:rsid w:val="00051B55"/>
    <w:rsid w:val="00064CFC"/>
    <w:rsid w:val="0008355D"/>
    <w:rsid w:val="000856D5"/>
    <w:rsid w:val="00086188"/>
    <w:rsid w:val="000863DB"/>
    <w:rsid w:val="0009677E"/>
    <w:rsid w:val="000A3C5E"/>
    <w:rsid w:val="000B083C"/>
    <w:rsid w:val="000C5386"/>
    <w:rsid w:val="000D4428"/>
    <w:rsid w:val="000E102A"/>
    <w:rsid w:val="0010630F"/>
    <w:rsid w:val="00107540"/>
    <w:rsid w:val="001076F9"/>
    <w:rsid w:val="001154D3"/>
    <w:rsid w:val="00116A6F"/>
    <w:rsid w:val="0012540C"/>
    <w:rsid w:val="00130A42"/>
    <w:rsid w:val="001470AB"/>
    <w:rsid w:val="00152C0F"/>
    <w:rsid w:val="00171962"/>
    <w:rsid w:val="0018638B"/>
    <w:rsid w:val="001964F3"/>
    <w:rsid w:val="001A32AE"/>
    <w:rsid w:val="001B5CFC"/>
    <w:rsid w:val="001D3E0D"/>
    <w:rsid w:val="00252369"/>
    <w:rsid w:val="002562E0"/>
    <w:rsid w:val="00256300"/>
    <w:rsid w:val="0026510A"/>
    <w:rsid w:val="00275C9F"/>
    <w:rsid w:val="00283659"/>
    <w:rsid w:val="00285BA9"/>
    <w:rsid w:val="002864F2"/>
    <w:rsid w:val="002A10EF"/>
    <w:rsid w:val="002A1F99"/>
    <w:rsid w:val="002B6188"/>
    <w:rsid w:val="002C75C5"/>
    <w:rsid w:val="002D68F1"/>
    <w:rsid w:val="002E378A"/>
    <w:rsid w:val="002E3E1E"/>
    <w:rsid w:val="002E7484"/>
    <w:rsid w:val="00302E8B"/>
    <w:rsid w:val="00311AD3"/>
    <w:rsid w:val="00317997"/>
    <w:rsid w:val="00337574"/>
    <w:rsid w:val="00347A18"/>
    <w:rsid w:val="00376578"/>
    <w:rsid w:val="0038346C"/>
    <w:rsid w:val="0039396A"/>
    <w:rsid w:val="0039459D"/>
    <w:rsid w:val="003A10E9"/>
    <w:rsid w:val="003A159B"/>
    <w:rsid w:val="003A33DB"/>
    <w:rsid w:val="003B6DFF"/>
    <w:rsid w:val="003C14BB"/>
    <w:rsid w:val="003D176B"/>
    <w:rsid w:val="003D2E24"/>
    <w:rsid w:val="003D5CEF"/>
    <w:rsid w:val="003E0F01"/>
    <w:rsid w:val="003E15D1"/>
    <w:rsid w:val="003F5475"/>
    <w:rsid w:val="004002A5"/>
    <w:rsid w:val="00401796"/>
    <w:rsid w:val="004202A1"/>
    <w:rsid w:val="00437529"/>
    <w:rsid w:val="00445881"/>
    <w:rsid w:val="00460A24"/>
    <w:rsid w:val="00467799"/>
    <w:rsid w:val="00472CD6"/>
    <w:rsid w:val="00474032"/>
    <w:rsid w:val="00482D77"/>
    <w:rsid w:val="004A7A6F"/>
    <w:rsid w:val="004B6F1B"/>
    <w:rsid w:val="004C406B"/>
    <w:rsid w:val="004C6B6B"/>
    <w:rsid w:val="004D0C55"/>
    <w:rsid w:val="004F428D"/>
    <w:rsid w:val="005140EA"/>
    <w:rsid w:val="00521EB9"/>
    <w:rsid w:val="00531C2C"/>
    <w:rsid w:val="00536C3F"/>
    <w:rsid w:val="005521FE"/>
    <w:rsid w:val="005868AE"/>
    <w:rsid w:val="00586996"/>
    <w:rsid w:val="00592E8B"/>
    <w:rsid w:val="005B77C6"/>
    <w:rsid w:val="005D71A8"/>
    <w:rsid w:val="005E05B2"/>
    <w:rsid w:val="005F3F9B"/>
    <w:rsid w:val="00600FB1"/>
    <w:rsid w:val="00601342"/>
    <w:rsid w:val="00605A40"/>
    <w:rsid w:val="00606881"/>
    <w:rsid w:val="00620DF9"/>
    <w:rsid w:val="00621F54"/>
    <w:rsid w:val="006362F3"/>
    <w:rsid w:val="006403B5"/>
    <w:rsid w:val="00655857"/>
    <w:rsid w:val="0066129F"/>
    <w:rsid w:val="0067378B"/>
    <w:rsid w:val="00680A29"/>
    <w:rsid w:val="0068320B"/>
    <w:rsid w:val="00692B77"/>
    <w:rsid w:val="006A574D"/>
    <w:rsid w:val="006C1BD8"/>
    <w:rsid w:val="006C60CB"/>
    <w:rsid w:val="006C798E"/>
    <w:rsid w:val="006F3EA7"/>
    <w:rsid w:val="006F47CB"/>
    <w:rsid w:val="007047F8"/>
    <w:rsid w:val="00705F9F"/>
    <w:rsid w:val="0070637C"/>
    <w:rsid w:val="00721A5E"/>
    <w:rsid w:val="007249B9"/>
    <w:rsid w:val="00727399"/>
    <w:rsid w:val="007322FF"/>
    <w:rsid w:val="00752B00"/>
    <w:rsid w:val="00755D8A"/>
    <w:rsid w:val="00756244"/>
    <w:rsid w:val="00766F94"/>
    <w:rsid w:val="007746FC"/>
    <w:rsid w:val="00774B10"/>
    <w:rsid w:val="00781232"/>
    <w:rsid w:val="007A10AE"/>
    <w:rsid w:val="007B53FF"/>
    <w:rsid w:val="007B5B53"/>
    <w:rsid w:val="007C0F0E"/>
    <w:rsid w:val="007C2821"/>
    <w:rsid w:val="007F0235"/>
    <w:rsid w:val="007F71A4"/>
    <w:rsid w:val="00803D01"/>
    <w:rsid w:val="008062AC"/>
    <w:rsid w:val="00834FB2"/>
    <w:rsid w:val="00846B12"/>
    <w:rsid w:val="0085613D"/>
    <w:rsid w:val="0086506F"/>
    <w:rsid w:val="00870624"/>
    <w:rsid w:val="008859F2"/>
    <w:rsid w:val="00895E48"/>
    <w:rsid w:val="008A0A58"/>
    <w:rsid w:val="008A0E5E"/>
    <w:rsid w:val="008C23A1"/>
    <w:rsid w:val="008F2F4F"/>
    <w:rsid w:val="008F7831"/>
    <w:rsid w:val="00900DDF"/>
    <w:rsid w:val="0090304D"/>
    <w:rsid w:val="0091739C"/>
    <w:rsid w:val="00923073"/>
    <w:rsid w:val="00946D8F"/>
    <w:rsid w:val="00952A7A"/>
    <w:rsid w:val="00952C11"/>
    <w:rsid w:val="009600EB"/>
    <w:rsid w:val="00964794"/>
    <w:rsid w:val="00966B67"/>
    <w:rsid w:val="00980556"/>
    <w:rsid w:val="009901AE"/>
    <w:rsid w:val="00994FCF"/>
    <w:rsid w:val="009A1474"/>
    <w:rsid w:val="009A447B"/>
    <w:rsid w:val="009A6AAE"/>
    <w:rsid w:val="009B5ACF"/>
    <w:rsid w:val="009D7B4F"/>
    <w:rsid w:val="009F7CE0"/>
    <w:rsid w:val="00A06E55"/>
    <w:rsid w:val="00A1597A"/>
    <w:rsid w:val="00A22440"/>
    <w:rsid w:val="00A2573A"/>
    <w:rsid w:val="00A40228"/>
    <w:rsid w:val="00A64A27"/>
    <w:rsid w:val="00A75D5B"/>
    <w:rsid w:val="00A775B7"/>
    <w:rsid w:val="00AA1D8A"/>
    <w:rsid w:val="00AB2016"/>
    <w:rsid w:val="00AB2CF1"/>
    <w:rsid w:val="00AB45C6"/>
    <w:rsid w:val="00AD51EC"/>
    <w:rsid w:val="00AF1453"/>
    <w:rsid w:val="00AF60AB"/>
    <w:rsid w:val="00B34D8B"/>
    <w:rsid w:val="00B54B1D"/>
    <w:rsid w:val="00B56361"/>
    <w:rsid w:val="00B65A21"/>
    <w:rsid w:val="00B67A4D"/>
    <w:rsid w:val="00B708DD"/>
    <w:rsid w:val="00B7702D"/>
    <w:rsid w:val="00B864B4"/>
    <w:rsid w:val="00B87911"/>
    <w:rsid w:val="00B936A5"/>
    <w:rsid w:val="00B95BF4"/>
    <w:rsid w:val="00BD016C"/>
    <w:rsid w:val="00BE3B00"/>
    <w:rsid w:val="00BE7691"/>
    <w:rsid w:val="00C1257C"/>
    <w:rsid w:val="00C16C90"/>
    <w:rsid w:val="00C224C5"/>
    <w:rsid w:val="00C26B04"/>
    <w:rsid w:val="00C34113"/>
    <w:rsid w:val="00C41767"/>
    <w:rsid w:val="00C42FE2"/>
    <w:rsid w:val="00C573B8"/>
    <w:rsid w:val="00C678E2"/>
    <w:rsid w:val="00C8303A"/>
    <w:rsid w:val="00CA4D87"/>
    <w:rsid w:val="00CB0719"/>
    <w:rsid w:val="00CC2A47"/>
    <w:rsid w:val="00CE4834"/>
    <w:rsid w:val="00CE7FD5"/>
    <w:rsid w:val="00D05921"/>
    <w:rsid w:val="00D1491E"/>
    <w:rsid w:val="00D342D3"/>
    <w:rsid w:val="00D40870"/>
    <w:rsid w:val="00D40DDC"/>
    <w:rsid w:val="00D43D23"/>
    <w:rsid w:val="00D661DE"/>
    <w:rsid w:val="00D66721"/>
    <w:rsid w:val="00DB0DA6"/>
    <w:rsid w:val="00DC2C59"/>
    <w:rsid w:val="00DD178F"/>
    <w:rsid w:val="00DD30E8"/>
    <w:rsid w:val="00DE0D58"/>
    <w:rsid w:val="00DE12A1"/>
    <w:rsid w:val="00DF4BEA"/>
    <w:rsid w:val="00DF6507"/>
    <w:rsid w:val="00DF78CF"/>
    <w:rsid w:val="00E04764"/>
    <w:rsid w:val="00E15F93"/>
    <w:rsid w:val="00E164EF"/>
    <w:rsid w:val="00E20281"/>
    <w:rsid w:val="00E2229B"/>
    <w:rsid w:val="00E40842"/>
    <w:rsid w:val="00E522EA"/>
    <w:rsid w:val="00E63327"/>
    <w:rsid w:val="00E91845"/>
    <w:rsid w:val="00EB1B8F"/>
    <w:rsid w:val="00EC5A1F"/>
    <w:rsid w:val="00EC6073"/>
    <w:rsid w:val="00EF2DE2"/>
    <w:rsid w:val="00EF6F4D"/>
    <w:rsid w:val="00F02F2B"/>
    <w:rsid w:val="00F3200F"/>
    <w:rsid w:val="00F32F40"/>
    <w:rsid w:val="00F8107A"/>
    <w:rsid w:val="00F9441D"/>
    <w:rsid w:val="00FC2072"/>
    <w:rsid w:val="00FC5311"/>
    <w:rsid w:val="01615A50"/>
    <w:rsid w:val="076D05BF"/>
    <w:rsid w:val="08E03050"/>
    <w:rsid w:val="0EBC0D6C"/>
    <w:rsid w:val="11537632"/>
    <w:rsid w:val="19B66580"/>
    <w:rsid w:val="1F074181"/>
    <w:rsid w:val="27D521BA"/>
    <w:rsid w:val="27FD0AC7"/>
    <w:rsid w:val="2BE30119"/>
    <w:rsid w:val="2E97127C"/>
    <w:rsid w:val="326D5A59"/>
    <w:rsid w:val="3AF36973"/>
    <w:rsid w:val="3C2A7BA1"/>
    <w:rsid w:val="3D2F6073"/>
    <w:rsid w:val="3E1404A1"/>
    <w:rsid w:val="42A81951"/>
    <w:rsid w:val="4646628D"/>
    <w:rsid w:val="46AE6F36"/>
    <w:rsid w:val="49052329"/>
    <w:rsid w:val="4A8C511F"/>
    <w:rsid w:val="536D4E89"/>
    <w:rsid w:val="56766566"/>
    <w:rsid w:val="574C09E5"/>
    <w:rsid w:val="5C25038B"/>
    <w:rsid w:val="623F31F0"/>
    <w:rsid w:val="62894519"/>
    <w:rsid w:val="64A16B26"/>
    <w:rsid w:val="675248E6"/>
    <w:rsid w:val="6E342DB1"/>
    <w:rsid w:val="6E3F5F5B"/>
    <w:rsid w:val="70EE7B55"/>
    <w:rsid w:val="719E5C20"/>
    <w:rsid w:val="751D2573"/>
    <w:rsid w:val="75595B47"/>
    <w:rsid w:val="7BBB7DBF"/>
    <w:rsid w:val="7D763A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uiPriority w:val="0"/>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6"/>
    <w:qFormat/>
    <w:uiPriority w:val="0"/>
    <w:pPr>
      <w:keepNext/>
      <w:keepLines/>
      <w:spacing w:before="260" w:after="260" w:line="416" w:lineRule="auto"/>
      <w:outlineLvl w:val="2"/>
    </w:pPr>
    <w:rPr>
      <w:rFonts w:ascii="Times New Roman" w:hAnsi="Times New Roman" w:cs="Times New Roman"/>
      <w:b/>
      <w:bCs/>
      <w:sz w:val="32"/>
      <w:szCs w:val="32"/>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ascii="Cambria" w:hAnsi="Cambria" w:eastAsia="黑体" w:cs="Times New Roman"/>
      <w:b/>
      <w:bCs/>
      <w:kern w:val="0"/>
      <w:sz w:val="20"/>
      <w:szCs w:val="20"/>
    </w:rPr>
  </w:style>
  <w:style w:type="paragraph" w:styleId="6">
    <w:name w:val="Document Map"/>
    <w:basedOn w:val="1"/>
    <w:link w:val="27"/>
    <w:qFormat/>
    <w:uiPriority w:val="0"/>
    <w:pPr>
      <w:shd w:val="clear" w:color="auto" w:fill="000080"/>
    </w:pPr>
    <w:rPr>
      <w:rFonts w:ascii="宋体" w:hAnsi="宋体" w:cs="Times New Roman"/>
      <w:b/>
      <w:bCs/>
      <w:kern w:val="0"/>
      <w:sz w:val="24"/>
      <w:szCs w:val="24"/>
    </w:rPr>
  </w:style>
  <w:style w:type="paragraph" w:styleId="7">
    <w:name w:val="annotation text"/>
    <w:basedOn w:val="1"/>
    <w:link w:val="28"/>
    <w:qFormat/>
    <w:uiPriority w:val="0"/>
    <w:pPr>
      <w:jc w:val="left"/>
    </w:pPr>
    <w:rPr>
      <w:rFonts w:ascii="Times New Roman" w:hAnsi="Times New Roman" w:cs="Times New Roman"/>
      <w:szCs w:val="24"/>
    </w:rPr>
  </w:style>
  <w:style w:type="paragraph" w:styleId="8">
    <w:name w:val="Body Text"/>
    <w:basedOn w:val="1"/>
    <w:qFormat/>
    <w:uiPriority w:val="0"/>
    <w:rPr>
      <w:rFonts w:ascii="Calibri" w:hAnsi="Calibri"/>
    </w:rPr>
  </w:style>
  <w:style w:type="paragraph" w:styleId="9">
    <w:name w:val="Body Text Indent"/>
    <w:basedOn w:val="1"/>
    <w:link w:val="29"/>
    <w:qFormat/>
    <w:uiPriority w:val="0"/>
    <w:pPr>
      <w:spacing w:line="440" w:lineRule="exact"/>
      <w:ind w:firstLine="574"/>
    </w:pPr>
    <w:rPr>
      <w:rFonts w:ascii="仿宋_GB2312" w:hAnsi="宋体" w:eastAsia="仿宋_GB2312" w:cs="Times New Roman"/>
      <w:sz w:val="28"/>
      <w:szCs w:val="27"/>
    </w:rPr>
  </w:style>
  <w:style w:type="paragraph" w:styleId="10">
    <w:name w:val="Plain Text"/>
    <w:basedOn w:val="1"/>
    <w:link w:val="30"/>
    <w:qFormat/>
    <w:uiPriority w:val="0"/>
    <w:rPr>
      <w:rFonts w:ascii="宋体" w:hAnsi="Courier New" w:cs="宋体"/>
      <w:szCs w:val="21"/>
    </w:rPr>
  </w:style>
  <w:style w:type="paragraph" w:styleId="11">
    <w:name w:val="Date"/>
    <w:basedOn w:val="1"/>
    <w:next w:val="1"/>
    <w:link w:val="31"/>
    <w:unhideWhenUsed/>
    <w:qFormat/>
    <w:uiPriority w:val="0"/>
    <w:pPr>
      <w:ind w:left="100" w:leftChars="2500"/>
    </w:pPr>
  </w:style>
  <w:style w:type="paragraph" w:styleId="12">
    <w:name w:val="Balloon Text"/>
    <w:basedOn w:val="1"/>
    <w:link w:val="32"/>
    <w:semiHidden/>
    <w:qFormat/>
    <w:uiPriority w:val="0"/>
    <w:rPr>
      <w:rFonts w:ascii="Times New Roman" w:hAnsi="Times New Roman" w:cs="Times New Roman"/>
      <w:sz w:val="18"/>
      <w:szCs w:val="18"/>
    </w:rPr>
  </w:style>
  <w:style w:type="paragraph" w:styleId="13">
    <w:name w:val="footer"/>
    <w:basedOn w:val="1"/>
    <w:link w:val="33"/>
    <w:qFormat/>
    <w:uiPriority w:val="99"/>
    <w:pPr>
      <w:tabs>
        <w:tab w:val="center" w:pos="4153"/>
        <w:tab w:val="right" w:pos="8306"/>
      </w:tabs>
      <w:snapToGrid w:val="0"/>
      <w:jc w:val="left"/>
    </w:pPr>
    <w:rPr>
      <w:sz w:val="18"/>
      <w:szCs w:val="18"/>
    </w:rPr>
  </w:style>
  <w:style w:type="paragraph" w:styleId="14">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unhideWhenUsed/>
    <w:qFormat/>
    <w:uiPriority w:val="99"/>
    <w:rPr>
      <w:rFonts w:ascii="Times New Roman" w:hAnsi="Times New Roman" w:cs="Times New Roman"/>
      <w:sz w:val="24"/>
      <w:szCs w:val="24"/>
    </w:rPr>
  </w:style>
  <w:style w:type="paragraph" w:styleId="16">
    <w:name w:val="annotation subject"/>
    <w:basedOn w:val="7"/>
    <w:next w:val="7"/>
    <w:link w:val="35"/>
    <w:qFormat/>
    <w:uiPriority w:val="0"/>
    <w:rPr>
      <w:b/>
      <w:bCs/>
    </w:r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Strong"/>
    <w:basedOn w:val="19"/>
    <w:qFormat/>
    <w:uiPriority w:val="0"/>
    <w:rPr>
      <w:b/>
      <w:bCs/>
    </w:rPr>
  </w:style>
  <w:style w:type="character" w:styleId="21">
    <w:name w:val="page number"/>
    <w:basedOn w:val="19"/>
    <w:uiPriority w:val="0"/>
  </w:style>
  <w:style w:type="character" w:styleId="22">
    <w:name w:val="Hyperlink"/>
    <w:basedOn w:val="19"/>
    <w:uiPriority w:val="0"/>
    <w:rPr>
      <w:color w:val="0000FF"/>
      <w:u w:val="single"/>
    </w:rPr>
  </w:style>
  <w:style w:type="character" w:styleId="23">
    <w:name w:val="annotation reference"/>
    <w:basedOn w:val="19"/>
    <w:qFormat/>
    <w:uiPriority w:val="0"/>
    <w:rPr>
      <w:sz w:val="21"/>
      <w:szCs w:val="21"/>
    </w:rPr>
  </w:style>
  <w:style w:type="character" w:customStyle="1" w:styleId="24">
    <w:name w:val="标题 1 Char"/>
    <w:basedOn w:val="19"/>
    <w:link w:val="2"/>
    <w:semiHidden/>
    <w:uiPriority w:val="0"/>
    <w:rPr>
      <w:b/>
      <w:bCs/>
      <w:kern w:val="44"/>
      <w:sz w:val="44"/>
      <w:szCs w:val="44"/>
    </w:rPr>
  </w:style>
  <w:style w:type="character" w:customStyle="1" w:styleId="25">
    <w:name w:val="标题 2 Char"/>
    <w:basedOn w:val="19"/>
    <w:link w:val="3"/>
    <w:uiPriority w:val="0"/>
    <w:rPr>
      <w:rFonts w:ascii="Arial" w:hAnsi="Arial" w:eastAsia="黑体"/>
      <w:b/>
      <w:bCs/>
      <w:kern w:val="2"/>
      <w:sz w:val="32"/>
      <w:szCs w:val="32"/>
    </w:rPr>
  </w:style>
  <w:style w:type="character" w:customStyle="1" w:styleId="26">
    <w:name w:val="标题 3 Char"/>
    <w:basedOn w:val="19"/>
    <w:link w:val="4"/>
    <w:qFormat/>
    <w:uiPriority w:val="0"/>
    <w:rPr>
      <w:b/>
      <w:bCs/>
      <w:kern w:val="2"/>
      <w:sz w:val="32"/>
      <w:szCs w:val="32"/>
    </w:rPr>
  </w:style>
  <w:style w:type="character" w:customStyle="1" w:styleId="27">
    <w:name w:val="文档结构图 Char"/>
    <w:basedOn w:val="19"/>
    <w:link w:val="6"/>
    <w:qFormat/>
    <w:uiPriority w:val="0"/>
    <w:rPr>
      <w:rFonts w:ascii="宋体" w:hAnsi="宋体"/>
      <w:b/>
      <w:bCs/>
      <w:sz w:val="24"/>
      <w:szCs w:val="24"/>
      <w:shd w:val="clear" w:color="auto" w:fill="000080"/>
    </w:rPr>
  </w:style>
  <w:style w:type="character" w:customStyle="1" w:styleId="28">
    <w:name w:val="批注文字 Char"/>
    <w:basedOn w:val="19"/>
    <w:link w:val="7"/>
    <w:qFormat/>
    <w:uiPriority w:val="0"/>
    <w:rPr>
      <w:kern w:val="2"/>
      <w:sz w:val="21"/>
      <w:szCs w:val="24"/>
    </w:rPr>
  </w:style>
  <w:style w:type="character" w:customStyle="1" w:styleId="29">
    <w:name w:val="正文文本缩进 Char"/>
    <w:basedOn w:val="19"/>
    <w:link w:val="9"/>
    <w:qFormat/>
    <w:uiPriority w:val="0"/>
    <w:rPr>
      <w:rFonts w:ascii="仿宋_GB2312" w:hAnsi="宋体" w:eastAsia="仿宋_GB2312"/>
      <w:kern w:val="2"/>
      <w:sz w:val="28"/>
      <w:szCs w:val="27"/>
    </w:rPr>
  </w:style>
  <w:style w:type="character" w:customStyle="1" w:styleId="30">
    <w:name w:val="纯文本 Char1"/>
    <w:basedOn w:val="19"/>
    <w:link w:val="10"/>
    <w:semiHidden/>
    <w:qFormat/>
    <w:uiPriority w:val="0"/>
    <w:rPr>
      <w:rFonts w:ascii="宋体" w:hAnsi="Courier New" w:cs="Courier New"/>
      <w:kern w:val="2"/>
      <w:sz w:val="21"/>
      <w:szCs w:val="21"/>
    </w:rPr>
  </w:style>
  <w:style w:type="character" w:customStyle="1" w:styleId="31">
    <w:name w:val="日期 Char"/>
    <w:basedOn w:val="19"/>
    <w:link w:val="11"/>
    <w:semiHidden/>
    <w:qFormat/>
    <w:uiPriority w:val="99"/>
    <w:rPr>
      <w:rFonts w:ascii="Calibri" w:hAnsi="Calibri" w:cs="黑体"/>
      <w:kern w:val="2"/>
      <w:sz w:val="21"/>
      <w:szCs w:val="22"/>
    </w:rPr>
  </w:style>
  <w:style w:type="character" w:customStyle="1" w:styleId="32">
    <w:name w:val="批注框文本 Char"/>
    <w:basedOn w:val="19"/>
    <w:link w:val="12"/>
    <w:semiHidden/>
    <w:uiPriority w:val="0"/>
    <w:rPr>
      <w:kern w:val="2"/>
      <w:sz w:val="18"/>
      <w:szCs w:val="18"/>
    </w:rPr>
  </w:style>
  <w:style w:type="character" w:customStyle="1" w:styleId="33">
    <w:name w:val="页脚 Char"/>
    <w:basedOn w:val="19"/>
    <w:link w:val="13"/>
    <w:qFormat/>
    <w:uiPriority w:val="99"/>
    <w:rPr>
      <w:sz w:val="18"/>
      <w:szCs w:val="18"/>
    </w:rPr>
  </w:style>
  <w:style w:type="character" w:customStyle="1" w:styleId="34">
    <w:name w:val="页眉 Char"/>
    <w:basedOn w:val="19"/>
    <w:link w:val="14"/>
    <w:uiPriority w:val="0"/>
    <w:rPr>
      <w:sz w:val="18"/>
      <w:szCs w:val="18"/>
    </w:rPr>
  </w:style>
  <w:style w:type="character" w:customStyle="1" w:styleId="35">
    <w:name w:val="批注主题 Char"/>
    <w:basedOn w:val="28"/>
    <w:link w:val="16"/>
    <w:uiPriority w:val="0"/>
    <w:rPr>
      <w:b/>
      <w:bCs/>
    </w:rPr>
  </w:style>
  <w:style w:type="character" w:customStyle="1" w:styleId="36">
    <w:name w:val="纯文本 Char"/>
    <w:basedOn w:val="19"/>
    <w:link w:val="37"/>
    <w:uiPriority w:val="0"/>
    <w:rPr>
      <w:rFonts w:ascii="宋体" w:hAnsi="Courier New" w:eastAsia="宋体" w:cs="Courier New"/>
      <w:szCs w:val="21"/>
    </w:rPr>
  </w:style>
  <w:style w:type="paragraph" w:customStyle="1" w:styleId="37">
    <w:name w:val="纯文本1"/>
    <w:basedOn w:val="1"/>
    <w:link w:val="36"/>
    <w:qFormat/>
    <w:uiPriority w:val="0"/>
    <w:rPr>
      <w:rFonts w:ascii="宋体" w:hAnsi="Courier New" w:cs="Courier New"/>
      <w:szCs w:val="21"/>
    </w:rPr>
  </w:style>
  <w:style w:type="character" w:customStyle="1" w:styleId="38">
    <w:name w:val="页码1"/>
    <w:basedOn w:val="19"/>
    <w:uiPriority w:val="0"/>
  </w:style>
  <w:style w:type="paragraph" w:customStyle="1" w:styleId="39">
    <w:name w:val="Char Char Char Char"/>
    <w:basedOn w:val="1"/>
    <w:uiPriority w:val="0"/>
    <w:pPr>
      <w:widowControl/>
      <w:spacing w:after="160" w:line="240" w:lineRule="exact"/>
      <w:jc w:val="left"/>
    </w:pPr>
    <w:rPr>
      <w:rFonts w:ascii="Verdana" w:hAnsi="Verdana" w:cs="Times New Roman"/>
      <w:kern w:val="0"/>
      <w:sz w:val="20"/>
      <w:szCs w:val="20"/>
      <w:lang w:eastAsia="en-US"/>
    </w:rPr>
  </w:style>
  <w:style w:type="paragraph" w:customStyle="1" w:styleId="40">
    <w:name w:val="普通(网站)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1">
    <w:name w:val="Char"/>
    <w:basedOn w:val="1"/>
    <w:qFormat/>
    <w:uiPriority w:val="0"/>
    <w:rPr>
      <w:rFonts w:ascii="Times New Roman" w:hAnsi="Times New Roman" w:cs="Times New Roman"/>
      <w:szCs w:val="24"/>
    </w:rPr>
  </w:style>
  <w:style w:type="paragraph" w:customStyle="1" w:styleId="42">
    <w:name w:val="p0"/>
    <w:basedOn w:val="1"/>
    <w:qFormat/>
    <w:uiPriority w:val="0"/>
    <w:pPr>
      <w:widowControl/>
    </w:pPr>
    <w:rPr>
      <w:rFonts w:hint="eastAsia"/>
      <w:szCs w:val="20"/>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Char Char Char"/>
    <w:basedOn w:val="1"/>
    <w:qFormat/>
    <w:uiPriority w:val="0"/>
    <w:pPr>
      <w:widowControl/>
      <w:spacing w:after="160" w:line="240" w:lineRule="exact"/>
      <w:jc w:val="left"/>
    </w:pPr>
    <w:rPr>
      <w:rFonts w:ascii="Verdana" w:hAnsi="Verdana" w:eastAsia="仿宋_GB2312" w:cs="Times New Roman"/>
      <w:color w:val="000000"/>
      <w:kern w:val="0"/>
      <w:sz w:val="24"/>
      <w:szCs w:val="20"/>
      <w:lang w:eastAsia="en-US"/>
    </w:rPr>
  </w:style>
  <w:style w:type="paragraph" w:customStyle="1" w:styleId="45">
    <w:name w:val="Char Char Char Char Char Char Char Char Char Char Char Char Char Char Char Char Char Char Char"/>
    <w:basedOn w:val="1"/>
    <w:qFormat/>
    <w:uiPriority w:val="0"/>
    <w:pPr>
      <w:widowControl/>
      <w:spacing w:after="160" w:line="240" w:lineRule="exact"/>
      <w:jc w:val="left"/>
    </w:pPr>
    <w:rPr>
      <w:rFonts w:ascii="Verdana" w:hAnsi="Verdana" w:cs="Times New Roman"/>
      <w:kern w:val="0"/>
      <w:sz w:val="20"/>
      <w:szCs w:val="20"/>
      <w:lang w:eastAsia="en-US"/>
    </w:rPr>
  </w:style>
  <w:style w:type="paragraph" w:customStyle="1" w:styleId="46">
    <w:name w:val="表1"/>
    <w:basedOn w:val="5"/>
    <w:qFormat/>
    <w:uiPriority w:val="0"/>
    <w:pPr>
      <w:jc w:val="center"/>
    </w:pPr>
    <w:rPr>
      <w:rFonts w:ascii="Times New Roman" w:hAnsi="Times New Roman" w:cs="Arial"/>
      <w:b w:val="0"/>
      <w:bCs w:val="0"/>
      <w:kern w:val="2"/>
      <w:sz w:val="21"/>
      <w:szCs w:val="21"/>
    </w:rPr>
  </w:style>
  <w:style w:type="paragraph" w:customStyle="1" w:styleId="47">
    <w:name w:val="Default"/>
    <w:uiPriority w:val="0"/>
    <w:pPr>
      <w:widowControl w:val="0"/>
      <w:autoSpaceDE w:val="0"/>
      <w:autoSpaceDN w:val="0"/>
      <w:adjustRightInd w:val="0"/>
    </w:pPr>
    <w:rPr>
      <w:rFonts w:ascii="华文细黑" w:hAnsi="Times New Roman" w:eastAsia="华文细黑"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6903</Words>
  <Characters>7615</Characters>
  <Lines>8</Lines>
  <Paragraphs>2</Paragraphs>
  <TotalTime>0</TotalTime>
  <ScaleCrop>false</ScaleCrop>
  <LinksUpToDate>false</LinksUpToDate>
  <CharactersWithSpaces>8108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2013-06-21T02:39:00Z</dcterms:created>
  <dc:creator>Microsoft</dc:creator>
  <cp:lastModifiedBy>....?</cp:lastModifiedBy>
  <cp:lastPrinted>2023-04-03T02:11:00Z</cp:lastPrinted>
  <dcterms:modified xsi:type="dcterms:W3CDTF">2023-04-03T03:04:20Z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5FE01BA0497D451399C38AA4196AF910</vt:lpwstr>
  </property>
</Properties>
</file>